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9E" w:rsidRPr="002A3325" w:rsidRDefault="00A77882" w:rsidP="00861A9E">
      <w:pPr>
        <w:jc w:val="center"/>
        <w:rPr>
          <w:rFonts w:cs="B Titr"/>
          <w:b/>
          <w:bCs/>
          <w:sz w:val="56"/>
          <w:szCs w:val="56"/>
          <w:rtl/>
        </w:rPr>
      </w:pPr>
      <w:r w:rsidRPr="002A3325">
        <w:rPr>
          <w:rFonts w:cs="B Titr" w:hint="cs"/>
          <w:b/>
          <w:bCs/>
          <w:sz w:val="56"/>
          <w:szCs w:val="56"/>
          <w:rtl/>
        </w:rPr>
        <w:t>فراخوان جذب نیرو</w:t>
      </w:r>
    </w:p>
    <w:p w:rsidR="00A77882" w:rsidRDefault="00A77882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 w:rsidRPr="00861A9E">
        <w:rPr>
          <w:rFonts w:ascii="IranNastaliq" w:hAnsi="IranNastaliq" w:cs="B Nazanin"/>
          <w:b/>
          <w:bCs/>
          <w:sz w:val="36"/>
          <w:szCs w:val="36"/>
          <w:rtl/>
        </w:rPr>
        <w:t xml:space="preserve">بدینوسیله به اطلاع می رساند، دانشگاه فنی و حرفه ای در نظر دارد به منظور تامین نیروی انسانی مورد نیاز خود در مراکز </w:t>
      </w:r>
      <w:r w:rsidR="00861A9E" w:rsidRPr="00861A9E">
        <w:rPr>
          <w:rFonts w:ascii="IranNastaliq" w:hAnsi="IranNastaliq" w:cs="B Nazanin"/>
          <w:b/>
          <w:bCs/>
          <w:sz w:val="36"/>
          <w:szCs w:val="36"/>
          <w:rtl/>
        </w:rPr>
        <w:t>تابعه کل کشور، تعداد 20 نفر از داوطلبان بومی واجد شرایط را به شرح جدول ذیل در مقاطع کارشناسی و بالاتر از طریق مصاحبه فنی و تخصصی و گزینش به صورت قراردادی، دعوت به همکاری نماید.</w:t>
      </w:r>
    </w:p>
    <w:tbl>
      <w:tblPr>
        <w:tblStyle w:val="TableGrid"/>
        <w:tblpPr w:leftFromText="180" w:rightFromText="180" w:vertAnchor="text" w:horzAnchor="page" w:tblpX="1563" w:tblpY="189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1541"/>
        <w:gridCol w:w="873"/>
        <w:gridCol w:w="1414"/>
      </w:tblGrid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استان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شهر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تعداد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زن/ 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کرمان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کرمان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 / 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آذربایجان شرقی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تبریز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861A9E"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تهران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تهران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861A9E"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آذربایجان غربی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ارومیه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861A9E"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سیستان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زاهدان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861A9E"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  <w:tr w:rsidR="000829CD" w:rsidTr="000829CD">
        <w:tc>
          <w:tcPr>
            <w:tcW w:w="255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گیلان</w:t>
            </w:r>
          </w:p>
        </w:tc>
        <w:tc>
          <w:tcPr>
            <w:tcW w:w="1541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رستم آباد</w:t>
            </w:r>
          </w:p>
        </w:tc>
        <w:tc>
          <w:tcPr>
            <w:tcW w:w="873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414" w:type="dxa"/>
          </w:tcPr>
          <w:p w:rsidR="000829CD" w:rsidRDefault="000829CD" w:rsidP="000829CD">
            <w:pPr>
              <w:jc w:val="lowKashida"/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</w:pP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زن</w:t>
            </w:r>
            <w:r w:rsidRPr="00861A9E">
              <w:rPr>
                <w:rFonts w:ascii="IranNastaliq" w:hAnsi="IranNastaliq" w:cs="B Nazanin"/>
                <w:b/>
                <w:bCs/>
                <w:sz w:val="36"/>
                <w:szCs w:val="36"/>
                <w:rtl/>
              </w:rPr>
              <w:t xml:space="preserve"> / </w:t>
            </w:r>
            <w:r w:rsidRPr="00861A9E">
              <w:rPr>
                <w:rFonts w:ascii="IranNastaliq" w:hAnsi="IranNastaliq" w:cs="B Nazanin" w:hint="cs"/>
                <w:b/>
                <w:bCs/>
                <w:sz w:val="36"/>
                <w:szCs w:val="36"/>
                <w:rtl/>
              </w:rPr>
              <w:t>مرد</w:t>
            </w:r>
          </w:p>
        </w:tc>
      </w:tr>
    </w:tbl>
    <w:p w:rsidR="00861A9E" w:rsidRDefault="00861A9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شرایط عمومی :                                                                </w:t>
      </w:r>
    </w:p>
    <w:p w:rsidR="00861A9E" w:rsidRDefault="00861A9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-تابعیت نظام جمهوری اسلامی ایران </w:t>
      </w:r>
    </w:p>
    <w:p w:rsidR="00861A9E" w:rsidRDefault="00861A9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>- تدین به دین مبین اسلام</w:t>
      </w:r>
    </w:p>
    <w:p w:rsidR="00861A9E" w:rsidRDefault="00861A9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>- التزام به قانون اساسی جمهوری اسلامی ایران</w:t>
      </w:r>
    </w:p>
    <w:p w:rsidR="00861A9E" w:rsidRDefault="00852E5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 w:hint="cs"/>
          <w:b/>
          <w:bCs/>
          <w:sz w:val="36"/>
          <w:szCs w:val="36"/>
          <w:rtl/>
        </w:rPr>
        <w:t>- نداشتن سوء پیشینه</w:t>
      </w:r>
    </w:p>
    <w:p w:rsidR="00861A9E" w:rsidRDefault="00861A9E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</w:p>
    <w:p w:rsidR="000829CD" w:rsidRDefault="000829CD" w:rsidP="00861A9E">
      <w:pPr>
        <w:jc w:val="lowKashida"/>
        <w:rPr>
          <w:rFonts w:ascii="IranNastaliq" w:hAnsi="IranNastaliq" w:cs="B Nazanin"/>
          <w:b/>
          <w:bCs/>
          <w:sz w:val="36"/>
          <w:szCs w:val="36"/>
          <w:rtl/>
        </w:rPr>
      </w:pPr>
    </w:p>
    <w:p w:rsidR="00FF35DB" w:rsidRDefault="00FF35DB" w:rsidP="00861A9E">
      <w:pPr>
        <w:jc w:val="lowKashida"/>
        <w:rPr>
          <w:rFonts w:ascii="IranNastaliq" w:hAnsi="IranNastaliq" w:cs="B Nazanin" w:hint="cs"/>
          <w:b/>
          <w:bCs/>
          <w:sz w:val="36"/>
          <w:szCs w:val="36"/>
          <w:rtl/>
        </w:rPr>
      </w:pPr>
      <w:bookmarkStart w:id="0" w:name="_GoBack"/>
      <w:bookmarkEnd w:id="0"/>
    </w:p>
    <w:sectPr w:rsidR="00FF35DB" w:rsidSect="00861A9E">
      <w:pgSz w:w="16838" w:h="11906" w:orient="landscape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82"/>
    <w:rsid w:val="000829CD"/>
    <w:rsid w:val="002A3325"/>
    <w:rsid w:val="00852E5E"/>
    <w:rsid w:val="00861A9E"/>
    <w:rsid w:val="008901A0"/>
    <w:rsid w:val="009A0D32"/>
    <w:rsid w:val="00A77882"/>
    <w:rsid w:val="00CA75FD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03B626-27BF-465B-934D-D070096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خزایی پروانه</dc:creator>
  <cp:keywords/>
  <dc:description/>
  <cp:lastModifiedBy>هدی متولیان</cp:lastModifiedBy>
  <cp:revision>4</cp:revision>
  <dcterms:created xsi:type="dcterms:W3CDTF">2022-11-30T08:35:00Z</dcterms:created>
  <dcterms:modified xsi:type="dcterms:W3CDTF">2022-11-30T08:44:00Z</dcterms:modified>
</cp:coreProperties>
</file>