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99" w:rsidRDefault="00E35B59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226932</wp:posOffset>
            </wp:positionV>
            <wp:extent cx="9689465" cy="6315739"/>
            <wp:effectExtent l="0" t="0" r="6985" b="889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8F7999" w:rsidSect="00E35B59">
      <w:pgSz w:w="16840" w:h="11907" w:orient="landscape" w:code="9"/>
      <w:pgMar w:top="567" w:right="3402" w:bottom="340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59"/>
    <w:rsid w:val="0015514F"/>
    <w:rsid w:val="001B6D26"/>
    <w:rsid w:val="002233F7"/>
    <w:rsid w:val="00232BA0"/>
    <w:rsid w:val="002602A4"/>
    <w:rsid w:val="00690DC4"/>
    <w:rsid w:val="0078569D"/>
    <w:rsid w:val="007B5471"/>
    <w:rsid w:val="00830854"/>
    <w:rsid w:val="00850A81"/>
    <w:rsid w:val="008F7999"/>
    <w:rsid w:val="00996DD8"/>
    <w:rsid w:val="00B06070"/>
    <w:rsid w:val="00B94D55"/>
    <w:rsid w:val="00BD2646"/>
    <w:rsid w:val="00CD46D0"/>
    <w:rsid w:val="00D47A20"/>
    <w:rsid w:val="00DB18AF"/>
    <w:rsid w:val="00E35B59"/>
    <w:rsid w:val="00E57AE0"/>
    <w:rsid w:val="00E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3D8136-7D63-4293-91BF-CF3A280F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ohammadhoseini.MAINTVU\Desktop\&#1607;&#1586;&#1740;&#1606;&#1607;%20&#1581;&#1575;&#1605;&#1604;%20&#1575;&#1606;&#1585;&#1688;&#1740;%20&#1608;%20&#1605;&#1575;&#1605;&#1608;&#1585;&#1740;&#1578;%2096\&#1607;&#1586;&#1740;&#1606;&#1607;%20&#1605;&#1575;&#1605;&#1608;&#1585;&#1740;&#1578;%2096\&#1607;&#1586;&#1740;&#1606;&#1607;%20&#1605;&#1575;&#1605;&#1608;&#1585;&#1740;&#1578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800">
                <a:cs typeface="B Koodak" panose="00000700000000000000" pitchFamily="2" charset="-78"/>
              </a:rPr>
              <a:t> هزینه مأموریت استان ها بر حسب</a:t>
            </a:r>
            <a:r>
              <a:rPr lang="fa-IR" sz="1800" baseline="0">
                <a:cs typeface="B Koodak" panose="00000700000000000000" pitchFamily="2" charset="-78"/>
              </a:rPr>
              <a:t> تعداد</a:t>
            </a:r>
            <a:r>
              <a:rPr lang="fa-IR" sz="1800">
                <a:cs typeface="B Koodak" panose="00000700000000000000" pitchFamily="2" charset="-78"/>
              </a:rPr>
              <a:t> کارمند-سال96</a:t>
            </a:r>
          </a:p>
        </c:rich>
      </c:tx>
      <c:layout>
        <c:manualLayout>
          <c:xMode val="edge"/>
          <c:yMode val="edge"/>
          <c:x val="0.47324852300926834"/>
          <c:y val="2.83998156976808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Sheet1!$I$1</c:f>
              <c:strCache>
                <c:ptCount val="1"/>
                <c:pt idx="0">
                  <c:v>نسبت هزینه ماموریت استان به تعداد کارکنان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5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6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7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Sheet1!$B$2:$B$33</c:f>
              <c:strCache>
                <c:ptCount val="32"/>
                <c:pt idx="0">
                  <c:v> تهران</c:v>
                </c:pt>
                <c:pt idx="1">
                  <c:v> قزوين</c:v>
                </c:pt>
                <c:pt idx="2">
                  <c:v> آذربايجان غربي</c:v>
                </c:pt>
                <c:pt idx="3">
                  <c:v> خوزستان</c:v>
                </c:pt>
                <c:pt idx="4">
                  <c:v> خراسان رضوي</c:v>
                </c:pt>
                <c:pt idx="5">
                  <c:v> آذربايجان شرقي</c:v>
                </c:pt>
                <c:pt idx="6">
                  <c:v> زنجان</c:v>
                </c:pt>
                <c:pt idx="7">
                  <c:v> گيلان</c:v>
                </c:pt>
                <c:pt idx="8">
                  <c:v> همدان</c:v>
                </c:pt>
                <c:pt idx="9">
                  <c:v> البرز</c:v>
                </c:pt>
                <c:pt idx="10">
                  <c:v> مركزي</c:v>
                </c:pt>
                <c:pt idx="11">
                  <c:v>سازمان مرکزی</c:v>
                </c:pt>
                <c:pt idx="12">
                  <c:v> بوشهر</c:v>
                </c:pt>
                <c:pt idx="13">
                  <c:v> فارس</c:v>
                </c:pt>
                <c:pt idx="14">
                  <c:v> كرمان</c:v>
                </c:pt>
                <c:pt idx="15">
                  <c:v> ايلام</c:v>
                </c:pt>
                <c:pt idx="16">
                  <c:v> قم</c:v>
                </c:pt>
                <c:pt idx="17">
                  <c:v> لرستان</c:v>
                </c:pt>
                <c:pt idx="18">
                  <c:v> اصفهان</c:v>
                </c:pt>
                <c:pt idx="19">
                  <c:v> كرمانشاه</c:v>
                </c:pt>
                <c:pt idx="20">
                  <c:v> يزد</c:v>
                </c:pt>
                <c:pt idx="21">
                  <c:v> چهارمحال بختياري</c:v>
                </c:pt>
                <c:pt idx="22">
                  <c:v> كردستان</c:v>
                </c:pt>
                <c:pt idx="23">
                  <c:v> سمنان</c:v>
                </c:pt>
                <c:pt idx="24">
                  <c:v> كهكيلويه و بوير احمد</c:v>
                </c:pt>
                <c:pt idx="25">
                  <c:v> هرمزگان</c:v>
                </c:pt>
                <c:pt idx="26">
                  <c:v> گلستان</c:v>
                </c:pt>
                <c:pt idx="27">
                  <c:v>مازندران</c:v>
                </c:pt>
                <c:pt idx="28">
                  <c:v> اردبيل</c:v>
                </c:pt>
                <c:pt idx="29">
                  <c:v> سيستان و بلوچستان</c:v>
                </c:pt>
                <c:pt idx="30">
                  <c:v> خراسان شمالي</c:v>
                </c:pt>
                <c:pt idx="31">
                  <c:v> خراسان جنوبي</c:v>
                </c:pt>
              </c:strCache>
            </c:strRef>
          </c:cat>
          <c:val>
            <c:numRef>
              <c:f>Sheet1!$I$2:$I$33</c:f>
              <c:numCache>
                <c:formatCode>#,##0</c:formatCode>
                <c:ptCount val="32"/>
                <c:pt idx="0">
                  <c:v>1072573.9550072569</c:v>
                </c:pt>
                <c:pt idx="1">
                  <c:v>1341171.0344827587</c:v>
                </c:pt>
                <c:pt idx="2">
                  <c:v>2021011.0214285713</c:v>
                </c:pt>
                <c:pt idx="3">
                  <c:v>1545642.9724770642</c:v>
                </c:pt>
                <c:pt idx="4">
                  <c:v>1086632.3758700697</c:v>
                </c:pt>
                <c:pt idx="5">
                  <c:v>2840381.1138790036</c:v>
                </c:pt>
                <c:pt idx="6">
                  <c:v>1664182.3376623376</c:v>
                </c:pt>
                <c:pt idx="7">
                  <c:v>1907830.0456140351</c:v>
                </c:pt>
                <c:pt idx="8">
                  <c:v>2235284.6931818184</c:v>
                </c:pt>
                <c:pt idx="9">
                  <c:v>2009797.2427184465</c:v>
                </c:pt>
                <c:pt idx="10">
                  <c:v>2656973.8170731706</c:v>
                </c:pt>
                <c:pt idx="11">
                  <c:v>4495315.2662337665</c:v>
                </c:pt>
                <c:pt idx="12">
                  <c:v>3255200.442857143</c:v>
                </c:pt>
                <c:pt idx="13">
                  <c:v>2506941.2309859153</c:v>
                </c:pt>
                <c:pt idx="14">
                  <c:v>2402194.5207253885</c:v>
                </c:pt>
                <c:pt idx="15">
                  <c:v>2037495.9090909092</c:v>
                </c:pt>
                <c:pt idx="16">
                  <c:v>1533041.5081967213</c:v>
                </c:pt>
                <c:pt idx="17">
                  <c:v>3037699.0263157897</c:v>
                </c:pt>
                <c:pt idx="18">
                  <c:v>6381822.9918032791</c:v>
                </c:pt>
                <c:pt idx="19">
                  <c:v>3395841.2569444445</c:v>
                </c:pt>
                <c:pt idx="20">
                  <c:v>4137206.1520912549</c:v>
                </c:pt>
                <c:pt idx="21">
                  <c:v>4451056.5873015877</c:v>
                </c:pt>
                <c:pt idx="22">
                  <c:v>3238503.1980198021</c:v>
                </c:pt>
                <c:pt idx="23">
                  <c:v>4396246.25</c:v>
                </c:pt>
                <c:pt idx="24">
                  <c:v>3772160.25</c:v>
                </c:pt>
                <c:pt idx="25">
                  <c:v>5652985.625</c:v>
                </c:pt>
                <c:pt idx="26">
                  <c:v>5362193.3254437866</c:v>
                </c:pt>
                <c:pt idx="27">
                  <c:v>4741495.9115646258</c:v>
                </c:pt>
                <c:pt idx="28">
                  <c:v>10093383.777777778</c:v>
                </c:pt>
                <c:pt idx="29">
                  <c:v>5712860.757009346</c:v>
                </c:pt>
                <c:pt idx="30">
                  <c:v>5178937.0252100844</c:v>
                </c:pt>
                <c:pt idx="31">
                  <c:v>6210869.5925925924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7038064"/>
        <c:axId val="243501872"/>
      </c:barChart>
      <c:catAx>
        <c:axId val="427038064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400" b="1">
                    <a:solidFill>
                      <a:sysClr val="windowText" lastClr="000000"/>
                    </a:solidFill>
                    <a:cs typeface="B Titr" panose="00000700000000000000" pitchFamily="2" charset="-78"/>
                  </a:rPr>
                  <a:t>متوسط</a:t>
                </a:r>
                <a:r>
                  <a:rPr lang="fa-IR" sz="1400" b="1" baseline="0">
                    <a:solidFill>
                      <a:sysClr val="windowText" lastClr="000000"/>
                    </a:solidFill>
                    <a:cs typeface="B Titr" panose="00000700000000000000" pitchFamily="2" charset="-78"/>
                  </a:rPr>
                  <a:t> هزینه مأموریت کشوری : 3/200/000 ریال</a:t>
                </a:r>
                <a:endParaRPr lang="en-US" sz="1100">
                  <a:solidFill>
                    <a:sysClr val="windowText" lastClr="000000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3501872"/>
        <c:crosses val="autoZero"/>
        <c:auto val="1"/>
        <c:lblAlgn val="ctr"/>
        <c:lblOffset val="100"/>
        <c:noMultiLvlLbl val="0"/>
      </c:catAx>
      <c:valAx>
        <c:axId val="243501872"/>
        <c:scaling>
          <c:orientation val="minMax"/>
        </c:scaling>
        <c:delete val="1"/>
        <c:axPos val="r"/>
        <c:numFmt formatCode="#,##0" sourceLinked="1"/>
        <c:majorTickMark val="none"/>
        <c:minorTickMark val="none"/>
        <c:tickLblPos val="nextTo"/>
        <c:crossAx val="42703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حسینی محمد</dc:creator>
  <cp:keywords/>
  <dc:description/>
  <cp:lastModifiedBy>حمزه ئی هما</cp:lastModifiedBy>
  <cp:revision>6</cp:revision>
  <cp:lastPrinted>2018-08-27T09:57:00Z</cp:lastPrinted>
  <dcterms:created xsi:type="dcterms:W3CDTF">2018-08-27T11:38:00Z</dcterms:created>
  <dcterms:modified xsi:type="dcterms:W3CDTF">2018-09-05T06:45:00Z</dcterms:modified>
</cp:coreProperties>
</file>