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A6" w:rsidRDefault="00922FA6" w:rsidP="008C19D5">
      <w:pPr>
        <w:ind w:left="-540" w:right="-1170"/>
      </w:pPr>
      <w:r>
        <w:rPr>
          <w:noProof/>
        </w:rPr>
        <w:drawing>
          <wp:inline distT="0" distB="0" distL="0" distR="0" wp14:anchorId="6B0C7685" wp14:editId="2CF566D1">
            <wp:extent cx="8943975" cy="4438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44E6" w:rsidRPr="00922FA6" w:rsidRDefault="00922FA6" w:rsidP="00922FA6">
      <w:pPr>
        <w:tabs>
          <w:tab w:val="left" w:pos="8655"/>
        </w:tabs>
        <w:jc w:val="center"/>
        <w:rPr>
          <w:rFonts w:cs="B Titr"/>
          <w:sz w:val="32"/>
          <w:szCs w:val="32"/>
        </w:rPr>
      </w:pPr>
      <w:r w:rsidRPr="00922FA6">
        <w:rPr>
          <w:rFonts w:cs="B Titr" w:hint="cs"/>
          <w:sz w:val="32"/>
          <w:szCs w:val="32"/>
          <w:rtl/>
        </w:rPr>
        <w:t>متوسط هزینه کشوری</w:t>
      </w:r>
      <w:r>
        <w:rPr>
          <w:rFonts w:cs="B Titr" w:hint="cs"/>
          <w:sz w:val="32"/>
          <w:szCs w:val="32"/>
          <w:rtl/>
        </w:rPr>
        <w:t xml:space="preserve"> حق التدریس</w:t>
      </w:r>
      <w:r w:rsidR="009761CB">
        <w:rPr>
          <w:rFonts w:cs="B Titr" w:hint="cs"/>
          <w:sz w:val="32"/>
          <w:szCs w:val="32"/>
          <w:rtl/>
          <w:lang w:bidi="fa-IR"/>
        </w:rPr>
        <w:t xml:space="preserve"> نسبت به دانشجو</w:t>
      </w:r>
      <w:bookmarkStart w:id="0" w:name="_GoBack"/>
      <w:bookmarkEnd w:id="0"/>
      <w:r w:rsidRPr="00922FA6">
        <w:rPr>
          <w:rFonts w:cs="B Titr" w:hint="cs"/>
          <w:sz w:val="32"/>
          <w:szCs w:val="32"/>
          <w:rtl/>
        </w:rPr>
        <w:t xml:space="preserve"> 000/898/3 ریال</w:t>
      </w:r>
    </w:p>
    <w:sectPr w:rsidR="008344E6" w:rsidRPr="00922FA6" w:rsidSect="00922F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6"/>
    <w:rsid w:val="00270D66"/>
    <w:rsid w:val="008C19D5"/>
    <w:rsid w:val="00922FA6"/>
    <w:rsid w:val="009761CB"/>
    <w:rsid w:val="00A21589"/>
    <w:rsid w:val="00C809F3"/>
    <w:rsid w:val="00EE785D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4387-AB8F-4B5A-91D4-4CBF58EA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asrolahi\Desktop\&#1711;&#1586;&#1575;&#1585;&#1588;%20&#1581;&#1602;%20&#1575;&#1604;&#1578;&#1583;&#1585;&#1740;&#1587;%2096%20(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066883013425238E-2"/>
          <c:y val="0"/>
          <c:w val="0.93999748434001662"/>
          <c:h val="0.717077533554751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FF5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8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2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'حق التدریس96'!$B$1:$B$36</c:f>
              <c:strCache>
                <c:ptCount val="31"/>
                <c:pt idx="0">
                  <c:v>استان گيلان</c:v>
                </c:pt>
                <c:pt idx="1">
                  <c:v>استان ايلام</c:v>
                </c:pt>
                <c:pt idx="2">
                  <c:v>استان زنجان</c:v>
                </c:pt>
                <c:pt idx="3">
                  <c:v>استان فارس</c:v>
                </c:pt>
                <c:pt idx="4">
                  <c:v>استان كهكيلويه و بوير احمد</c:v>
                </c:pt>
                <c:pt idx="5">
                  <c:v>استان البرز</c:v>
                </c:pt>
                <c:pt idx="6">
                  <c:v>استان سمنان</c:v>
                </c:pt>
                <c:pt idx="7">
                  <c:v>استان همدان</c:v>
                </c:pt>
                <c:pt idx="8">
                  <c:v>استان خراسان رضوي</c:v>
                </c:pt>
                <c:pt idx="9">
                  <c:v>استان مركزي</c:v>
                </c:pt>
                <c:pt idx="10">
                  <c:v>استان كرمانشاه</c:v>
                </c:pt>
                <c:pt idx="11">
                  <c:v>استان كردستان</c:v>
                </c:pt>
                <c:pt idx="12">
                  <c:v>استان اصفهان</c:v>
                </c:pt>
                <c:pt idx="13">
                  <c:v>استان اردبيل</c:v>
                </c:pt>
                <c:pt idx="14">
                  <c:v>استان قزوين</c:v>
                </c:pt>
                <c:pt idx="15">
                  <c:v>استان چهارمحال بختياري</c:v>
                </c:pt>
                <c:pt idx="16">
                  <c:v>استان آذربايجان شرقي</c:v>
                </c:pt>
                <c:pt idx="17">
                  <c:v>استان تهران</c:v>
                </c:pt>
                <c:pt idx="18">
                  <c:v>استان كرمان</c:v>
                </c:pt>
                <c:pt idx="19">
                  <c:v>استان لرستان</c:v>
                </c:pt>
                <c:pt idx="20">
                  <c:v>استان خوزستان</c:v>
                </c:pt>
                <c:pt idx="21">
                  <c:v>استان يزد</c:v>
                </c:pt>
                <c:pt idx="22">
                  <c:v>استان گلستان</c:v>
                </c:pt>
                <c:pt idx="23">
                  <c:v>استان سيستان و بلوچستان</c:v>
                </c:pt>
                <c:pt idx="24">
                  <c:v>استان مازندران</c:v>
                </c:pt>
                <c:pt idx="25">
                  <c:v>استان بوشهر</c:v>
                </c:pt>
                <c:pt idx="26">
                  <c:v>استان هرمزگان</c:v>
                </c:pt>
                <c:pt idx="27">
                  <c:v>استان خراسان شمالي</c:v>
                </c:pt>
                <c:pt idx="28">
                  <c:v>استان قم</c:v>
                </c:pt>
                <c:pt idx="29">
                  <c:v>استان خراسان جنوبي</c:v>
                </c:pt>
                <c:pt idx="30">
                  <c:v>استان آذربايجان غربي</c:v>
                </c:pt>
              </c:strCache>
            </c:strRef>
          </c:cat>
          <c:val>
            <c:numRef>
              <c:f>'حق التدریس96'!$E$1:$E$36</c:f>
              <c:numCache>
                <c:formatCode>#,##0</c:formatCode>
                <c:ptCount val="36"/>
                <c:pt idx="0">
                  <c:v>5143318.232801321</c:v>
                </c:pt>
                <c:pt idx="1">
                  <c:v>4776246.2130532637</c:v>
                </c:pt>
                <c:pt idx="2">
                  <c:v>4633624.3235130627</c:v>
                </c:pt>
                <c:pt idx="3">
                  <c:v>4538990.1419675164</c:v>
                </c:pt>
                <c:pt idx="4">
                  <c:v>4352530.4498567339</c:v>
                </c:pt>
                <c:pt idx="5">
                  <c:v>4345664.1717567211</c:v>
                </c:pt>
                <c:pt idx="6">
                  <c:v>4323319.317007212</c:v>
                </c:pt>
                <c:pt idx="7">
                  <c:v>4289960.692277615</c:v>
                </c:pt>
                <c:pt idx="8">
                  <c:v>4284147.1205582796</c:v>
                </c:pt>
                <c:pt idx="9">
                  <c:v>4218022.5760739855</c:v>
                </c:pt>
                <c:pt idx="10">
                  <c:v>4146389.9323144103</c:v>
                </c:pt>
                <c:pt idx="11">
                  <c:v>4067417.2</c:v>
                </c:pt>
                <c:pt idx="12">
                  <c:v>4018577.2983781002</c:v>
                </c:pt>
                <c:pt idx="13">
                  <c:v>4013069.9727777778</c:v>
                </c:pt>
                <c:pt idx="14">
                  <c:v>3987013.1956841587</c:v>
                </c:pt>
                <c:pt idx="15">
                  <c:v>3928482.2663967609</c:v>
                </c:pt>
                <c:pt idx="16">
                  <c:v>3888370.9174921792</c:v>
                </c:pt>
                <c:pt idx="17">
                  <c:v>3802365.7346522016</c:v>
                </c:pt>
                <c:pt idx="18">
                  <c:v>3755085.0453169253</c:v>
                </c:pt>
                <c:pt idx="19">
                  <c:v>3720599.3291036715</c:v>
                </c:pt>
                <c:pt idx="20">
                  <c:v>3717359.0257571028</c:v>
                </c:pt>
                <c:pt idx="21">
                  <c:v>3632398.7633946831</c:v>
                </c:pt>
                <c:pt idx="22">
                  <c:v>3598010.935642506</c:v>
                </c:pt>
                <c:pt idx="23">
                  <c:v>3516884.8644412193</c:v>
                </c:pt>
                <c:pt idx="24">
                  <c:v>3496005.7648874237</c:v>
                </c:pt>
                <c:pt idx="25">
                  <c:v>3481478.3249599147</c:v>
                </c:pt>
                <c:pt idx="26">
                  <c:v>3463810.6138731767</c:v>
                </c:pt>
                <c:pt idx="27">
                  <c:v>2910841.5225330223</c:v>
                </c:pt>
                <c:pt idx="28">
                  <c:v>2854491.806013579</c:v>
                </c:pt>
                <c:pt idx="29">
                  <c:v>2585957.6544738323</c:v>
                </c:pt>
                <c:pt idx="30">
                  <c:v>2580580.1738270717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8"/>
        <c:overlap val="61"/>
        <c:axId val="217110176"/>
        <c:axId val="217110568"/>
      </c:barChart>
      <c:catAx>
        <c:axId val="217110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Lotus" panose="00000400000000000000" pitchFamily="2" charset="-78"/>
              </a:defRPr>
            </a:pPr>
            <a:endParaRPr lang="en-US"/>
          </a:p>
        </c:txPr>
        <c:crossAx val="217110568"/>
        <c:crosses val="autoZero"/>
        <c:auto val="1"/>
        <c:lblAlgn val="ctr"/>
        <c:lblOffset val="100"/>
        <c:noMultiLvlLbl val="0"/>
      </c:catAx>
      <c:valAx>
        <c:axId val="21711056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1711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نوید نصرالهی</dc:creator>
  <cp:keywords/>
  <dc:description/>
  <cp:lastModifiedBy>نوید نصرالهی</cp:lastModifiedBy>
  <cp:revision>5</cp:revision>
  <dcterms:created xsi:type="dcterms:W3CDTF">2018-09-12T12:52:00Z</dcterms:created>
  <dcterms:modified xsi:type="dcterms:W3CDTF">2018-09-12T13:40:00Z</dcterms:modified>
</cp:coreProperties>
</file>